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8BB" w:rsidRDefault="006F660A" w:rsidP="00C5692D">
      <w:pPr>
        <w:spacing w:after="0" w:line="360" w:lineRule="auto"/>
        <w:jc w:val="center"/>
        <w:rPr>
          <w:rFonts w:ascii="Cambria" w:hAnsi="Cambria"/>
          <w:b/>
          <w:u w:val="single"/>
        </w:rPr>
      </w:pPr>
      <w:r>
        <w:rPr>
          <w:noProof/>
          <w:lang w:eastAsia="es-P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60808</wp:posOffset>
            </wp:positionH>
            <wp:positionV relativeFrom="paragraph">
              <wp:posOffset>-686994</wp:posOffset>
            </wp:positionV>
            <wp:extent cx="2380096" cy="800100"/>
            <wp:effectExtent l="0" t="0" r="127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096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660A" w:rsidRDefault="006F660A" w:rsidP="00C5692D">
      <w:pPr>
        <w:spacing w:after="0" w:line="360" w:lineRule="auto"/>
        <w:jc w:val="center"/>
        <w:rPr>
          <w:b/>
          <w:sz w:val="28"/>
        </w:rPr>
      </w:pPr>
    </w:p>
    <w:p w:rsidR="007D6FC3" w:rsidRPr="006F660A" w:rsidRDefault="007D6FC3" w:rsidP="00C5692D">
      <w:pPr>
        <w:spacing w:after="0" w:line="360" w:lineRule="auto"/>
        <w:jc w:val="center"/>
        <w:rPr>
          <w:b/>
          <w:sz w:val="28"/>
        </w:rPr>
      </w:pPr>
      <w:r w:rsidRPr="006F660A">
        <w:rPr>
          <w:b/>
          <w:sz w:val="28"/>
        </w:rPr>
        <w:t>Líneas de Investigación</w:t>
      </w:r>
      <w:r w:rsidR="006F660A" w:rsidRPr="006F660A">
        <w:rPr>
          <w:b/>
          <w:sz w:val="28"/>
        </w:rPr>
        <w:t xml:space="preserve"> de maestrías de la Escuela de Posgrado</w:t>
      </w:r>
    </w:p>
    <w:p w:rsidR="007D6FC3" w:rsidRPr="006F660A" w:rsidRDefault="007D6FC3" w:rsidP="00C5692D">
      <w:pPr>
        <w:spacing w:after="0" w:line="360" w:lineRule="auto"/>
        <w:jc w:val="both"/>
      </w:pPr>
    </w:p>
    <w:p w:rsidR="00C5692D" w:rsidRPr="006F660A" w:rsidRDefault="00C5692D" w:rsidP="00C5692D">
      <w:pPr>
        <w:spacing w:after="0" w:line="360" w:lineRule="auto"/>
        <w:jc w:val="both"/>
      </w:pPr>
      <w:r w:rsidRPr="006F660A">
        <w:t xml:space="preserve">La Escuela de Posgrado de la Universidad Antonio Ruiz de Montoya promueve la generación de nuevos conocimientos en aras del desarrollo nacional. Con el propósito de orientar al estudiante en su </w:t>
      </w:r>
      <w:r w:rsidR="006F660A">
        <w:t>plan</w:t>
      </w:r>
      <w:r w:rsidRPr="006F660A">
        <w:t xml:space="preserve"> de tesis, las </w:t>
      </w:r>
      <w:r w:rsidR="006F660A">
        <w:t>m</w:t>
      </w:r>
      <w:r w:rsidRPr="006F660A">
        <w:t>aestrías de la Escuela de Posgrado incluyen en sus planes de estudios</w:t>
      </w:r>
      <w:r w:rsidR="006F660A">
        <w:t xml:space="preserve"> sus</w:t>
      </w:r>
      <w:r w:rsidRPr="006F660A">
        <w:t xml:space="preserve"> líneas de investigación.</w:t>
      </w:r>
    </w:p>
    <w:p w:rsidR="00C5692D" w:rsidRPr="006F660A" w:rsidRDefault="00C5692D" w:rsidP="00C5692D">
      <w:pPr>
        <w:spacing w:after="0" w:line="360" w:lineRule="auto"/>
        <w:jc w:val="both"/>
      </w:pPr>
    </w:p>
    <w:p w:rsidR="00C5692D" w:rsidRPr="006F660A" w:rsidRDefault="00C5692D" w:rsidP="00C5692D">
      <w:pPr>
        <w:spacing w:after="0" w:line="360" w:lineRule="auto"/>
        <w:jc w:val="both"/>
      </w:pPr>
      <w:r w:rsidRPr="006F660A">
        <w:t xml:space="preserve">Las líneas de investigación aprobadas en el último plan de estudios de las </w:t>
      </w:r>
      <w:r w:rsidR="006F660A">
        <w:t>m</w:t>
      </w:r>
      <w:r w:rsidRPr="006F660A">
        <w:t>aestrías son</w:t>
      </w:r>
      <w:r w:rsidR="006F660A">
        <w:t xml:space="preserve"> las siguientes</w:t>
      </w:r>
      <w:r w:rsidRPr="006F660A">
        <w:t>:</w:t>
      </w:r>
    </w:p>
    <w:p w:rsidR="00C5692D" w:rsidRPr="006F660A" w:rsidRDefault="00C5692D" w:rsidP="00C5692D">
      <w:pPr>
        <w:spacing w:after="0" w:line="360" w:lineRule="auto"/>
        <w:jc w:val="both"/>
      </w:pPr>
    </w:p>
    <w:p w:rsidR="007D6FC3" w:rsidRPr="006F660A" w:rsidRDefault="00C5692D" w:rsidP="006F660A">
      <w:pPr>
        <w:pStyle w:val="Prrafodelista"/>
        <w:numPr>
          <w:ilvl w:val="0"/>
          <w:numId w:val="11"/>
        </w:numPr>
        <w:spacing w:after="0" w:line="360" w:lineRule="auto"/>
        <w:ind w:left="284" w:hanging="284"/>
        <w:jc w:val="both"/>
        <w:rPr>
          <w:b/>
        </w:rPr>
      </w:pPr>
      <w:r w:rsidRPr="006F660A">
        <w:rPr>
          <w:b/>
        </w:rPr>
        <w:t>Maestría en Ciencia Política con mención en Gerencia Pública</w:t>
      </w:r>
    </w:p>
    <w:p w:rsidR="009E762D" w:rsidRPr="006F660A" w:rsidRDefault="009E762D" w:rsidP="00C5692D">
      <w:pPr>
        <w:spacing w:after="0" w:line="360" w:lineRule="auto"/>
        <w:jc w:val="both"/>
      </w:pPr>
      <w:r w:rsidRPr="006F660A">
        <w:t>La Maestría en Ciencia Política con Mención en Gerencia Pública tiene tres grandes líneas de investigación:</w:t>
      </w:r>
    </w:p>
    <w:p w:rsidR="009E762D" w:rsidRPr="006F660A" w:rsidRDefault="009E762D" w:rsidP="00C5692D">
      <w:pPr>
        <w:pStyle w:val="Prrafodelista"/>
        <w:numPr>
          <w:ilvl w:val="0"/>
          <w:numId w:val="2"/>
        </w:numPr>
        <w:spacing w:after="0" w:line="360" w:lineRule="auto"/>
        <w:jc w:val="both"/>
      </w:pPr>
      <w:r w:rsidRPr="006F660A">
        <w:t>Gerencia de políticas sociales con atención a la diversidad.</w:t>
      </w:r>
    </w:p>
    <w:p w:rsidR="009E762D" w:rsidRPr="006F660A" w:rsidRDefault="009E762D" w:rsidP="00C5692D">
      <w:pPr>
        <w:pStyle w:val="Prrafodelista"/>
        <w:numPr>
          <w:ilvl w:val="0"/>
          <w:numId w:val="2"/>
        </w:numPr>
        <w:spacing w:after="0" w:line="360" w:lineRule="auto"/>
        <w:jc w:val="both"/>
      </w:pPr>
      <w:r w:rsidRPr="006F660A">
        <w:t>Descentralización, regionalización y gobernabilidad.</w:t>
      </w:r>
    </w:p>
    <w:p w:rsidR="009E762D" w:rsidRPr="006F660A" w:rsidRDefault="009E762D" w:rsidP="00C5692D">
      <w:pPr>
        <w:pStyle w:val="Prrafodelista"/>
        <w:numPr>
          <w:ilvl w:val="0"/>
          <w:numId w:val="2"/>
        </w:numPr>
        <w:spacing w:after="0" w:line="360" w:lineRule="auto"/>
        <w:jc w:val="both"/>
      </w:pPr>
      <w:r w:rsidRPr="006F660A">
        <w:t>Modernización administrativa y reforma del Estado.</w:t>
      </w:r>
    </w:p>
    <w:p w:rsidR="009E762D" w:rsidRPr="006F660A" w:rsidRDefault="009E762D" w:rsidP="00C5692D">
      <w:pPr>
        <w:spacing w:after="0" w:line="360" w:lineRule="auto"/>
        <w:jc w:val="both"/>
      </w:pPr>
    </w:p>
    <w:p w:rsidR="00C5692D" w:rsidRPr="006F660A" w:rsidRDefault="00C5692D" w:rsidP="006F660A">
      <w:pPr>
        <w:pStyle w:val="Prrafodelista"/>
        <w:numPr>
          <w:ilvl w:val="0"/>
          <w:numId w:val="11"/>
        </w:numPr>
        <w:spacing w:after="0" w:line="360" w:lineRule="auto"/>
        <w:ind w:left="284" w:hanging="284"/>
        <w:jc w:val="both"/>
        <w:rPr>
          <w:b/>
        </w:rPr>
      </w:pPr>
      <w:r w:rsidRPr="006F660A">
        <w:rPr>
          <w:b/>
        </w:rPr>
        <w:t>Maestría en Consejería</w:t>
      </w:r>
    </w:p>
    <w:p w:rsidR="009E762D" w:rsidRPr="006F660A" w:rsidRDefault="009E762D" w:rsidP="00C5692D">
      <w:pPr>
        <w:spacing w:after="0" w:line="360" w:lineRule="auto"/>
        <w:jc w:val="both"/>
      </w:pPr>
      <w:r w:rsidRPr="006F660A">
        <w:t>Las categorías temáticas en las cuáles se realizarán los proyectos de investigación son las siguientes:</w:t>
      </w:r>
    </w:p>
    <w:p w:rsidR="009E762D" w:rsidRPr="006F660A" w:rsidRDefault="009E762D" w:rsidP="00C5692D">
      <w:pPr>
        <w:pStyle w:val="Prrafodelista"/>
        <w:numPr>
          <w:ilvl w:val="0"/>
          <w:numId w:val="4"/>
        </w:numPr>
        <w:spacing w:after="0" w:line="360" w:lineRule="auto"/>
        <w:jc w:val="both"/>
      </w:pPr>
      <w:r w:rsidRPr="006F660A">
        <w:t>Consejería profesional, familia y sociedad.</w:t>
      </w:r>
    </w:p>
    <w:p w:rsidR="009E762D" w:rsidRPr="006F660A" w:rsidRDefault="009E762D" w:rsidP="00843F84">
      <w:pPr>
        <w:pStyle w:val="Prrafodelista"/>
        <w:numPr>
          <w:ilvl w:val="0"/>
          <w:numId w:val="4"/>
        </w:numPr>
        <w:spacing w:after="0" w:line="360" w:lineRule="auto"/>
        <w:jc w:val="both"/>
      </w:pPr>
      <w:r w:rsidRPr="006F660A">
        <w:t>Consejería profesional, comunidad y colectivismo.</w:t>
      </w:r>
    </w:p>
    <w:p w:rsidR="009E762D" w:rsidRPr="006F660A" w:rsidRDefault="009E762D" w:rsidP="00843F84">
      <w:pPr>
        <w:pStyle w:val="Prrafodelista"/>
        <w:numPr>
          <w:ilvl w:val="0"/>
          <w:numId w:val="4"/>
        </w:numPr>
        <w:spacing w:after="0" w:line="360" w:lineRule="auto"/>
        <w:jc w:val="both"/>
      </w:pPr>
      <w:r w:rsidRPr="006F660A">
        <w:t>Salud mental y consejería.</w:t>
      </w:r>
    </w:p>
    <w:p w:rsidR="009E762D" w:rsidRPr="006F660A" w:rsidRDefault="009E762D" w:rsidP="00843F84">
      <w:pPr>
        <w:pStyle w:val="Prrafodelista"/>
        <w:numPr>
          <w:ilvl w:val="0"/>
          <w:numId w:val="4"/>
        </w:numPr>
        <w:spacing w:after="0" w:line="360" w:lineRule="auto"/>
        <w:jc w:val="both"/>
      </w:pPr>
      <w:r w:rsidRPr="006F660A">
        <w:t>Salud Integral y Calidad de Vida.</w:t>
      </w:r>
    </w:p>
    <w:p w:rsidR="009E762D" w:rsidRPr="006F660A" w:rsidRDefault="009E762D" w:rsidP="00843F84">
      <w:pPr>
        <w:pStyle w:val="Prrafodelista"/>
        <w:numPr>
          <w:ilvl w:val="0"/>
          <w:numId w:val="4"/>
        </w:numPr>
        <w:spacing w:after="0" w:line="360" w:lineRule="auto"/>
        <w:jc w:val="both"/>
      </w:pPr>
      <w:r w:rsidRPr="006F660A">
        <w:t>Responsabilidad social y consejería.</w:t>
      </w:r>
    </w:p>
    <w:p w:rsidR="009E762D" w:rsidRPr="006F660A" w:rsidRDefault="009E762D" w:rsidP="00843F84">
      <w:pPr>
        <w:pStyle w:val="Prrafodelista"/>
        <w:numPr>
          <w:ilvl w:val="0"/>
          <w:numId w:val="4"/>
        </w:numPr>
        <w:spacing w:after="0" w:line="360" w:lineRule="auto"/>
        <w:jc w:val="both"/>
      </w:pPr>
      <w:r w:rsidRPr="006F660A">
        <w:t>Ética, valores y consejería.</w:t>
      </w:r>
    </w:p>
    <w:p w:rsidR="009E762D" w:rsidRPr="006F660A" w:rsidRDefault="009E762D" w:rsidP="00843F84">
      <w:pPr>
        <w:pStyle w:val="Prrafodelista"/>
        <w:numPr>
          <w:ilvl w:val="0"/>
          <w:numId w:val="4"/>
        </w:numPr>
        <w:spacing w:after="0" w:line="360" w:lineRule="auto"/>
        <w:jc w:val="both"/>
      </w:pPr>
      <w:r w:rsidRPr="006F660A">
        <w:t>Consejería, religión y espiritualidad.</w:t>
      </w:r>
    </w:p>
    <w:p w:rsidR="009E762D" w:rsidRPr="006F660A" w:rsidRDefault="009E762D" w:rsidP="00843F84">
      <w:pPr>
        <w:pStyle w:val="Prrafodelista"/>
        <w:numPr>
          <w:ilvl w:val="0"/>
          <w:numId w:val="4"/>
        </w:numPr>
        <w:spacing w:after="0" w:line="360" w:lineRule="auto"/>
        <w:jc w:val="both"/>
      </w:pPr>
      <w:r w:rsidRPr="006F660A">
        <w:t>Relaciones e interacción Humanas.</w:t>
      </w:r>
    </w:p>
    <w:p w:rsidR="009E762D" w:rsidRPr="006F660A" w:rsidRDefault="009E762D" w:rsidP="00843F84">
      <w:pPr>
        <w:pStyle w:val="Prrafodelista"/>
        <w:numPr>
          <w:ilvl w:val="0"/>
          <w:numId w:val="4"/>
        </w:numPr>
        <w:spacing w:after="0" w:line="360" w:lineRule="auto"/>
        <w:jc w:val="both"/>
      </w:pPr>
      <w:r w:rsidRPr="006F660A">
        <w:t>Género, cultura y consejería.</w:t>
      </w:r>
    </w:p>
    <w:p w:rsidR="009E762D" w:rsidRPr="006F660A" w:rsidRDefault="009E762D" w:rsidP="00843F84">
      <w:pPr>
        <w:pStyle w:val="Prrafodelista"/>
        <w:numPr>
          <w:ilvl w:val="0"/>
          <w:numId w:val="4"/>
        </w:numPr>
        <w:spacing w:after="0" w:line="360" w:lineRule="auto"/>
        <w:jc w:val="both"/>
      </w:pPr>
      <w:r w:rsidRPr="006F660A">
        <w:lastRenderedPageBreak/>
        <w:t>Sexualidad humana y consejería.</w:t>
      </w:r>
    </w:p>
    <w:p w:rsidR="009E762D" w:rsidRPr="006F660A" w:rsidRDefault="009E762D" w:rsidP="00843F84">
      <w:pPr>
        <w:pStyle w:val="Prrafodelista"/>
        <w:numPr>
          <w:ilvl w:val="0"/>
          <w:numId w:val="4"/>
        </w:numPr>
        <w:spacing w:after="0" w:line="360" w:lineRule="auto"/>
        <w:jc w:val="both"/>
      </w:pPr>
      <w:r w:rsidRPr="006F660A">
        <w:t>Adolescencia y consejería.</w:t>
      </w:r>
    </w:p>
    <w:p w:rsidR="009E762D" w:rsidRPr="006F660A" w:rsidRDefault="009E762D" w:rsidP="00843F84">
      <w:pPr>
        <w:pStyle w:val="Prrafodelista"/>
        <w:numPr>
          <w:ilvl w:val="0"/>
          <w:numId w:val="4"/>
        </w:numPr>
        <w:spacing w:after="0" w:line="360" w:lineRule="auto"/>
        <w:jc w:val="both"/>
      </w:pPr>
      <w:r w:rsidRPr="006F660A">
        <w:t>Adultez y consejería.</w:t>
      </w:r>
    </w:p>
    <w:p w:rsidR="009E762D" w:rsidRPr="006F660A" w:rsidRDefault="009E762D" w:rsidP="00843F84">
      <w:pPr>
        <w:pStyle w:val="Prrafodelista"/>
        <w:numPr>
          <w:ilvl w:val="0"/>
          <w:numId w:val="4"/>
        </w:numPr>
        <w:spacing w:after="0" w:line="360" w:lineRule="auto"/>
        <w:jc w:val="both"/>
      </w:pPr>
      <w:r w:rsidRPr="006F660A">
        <w:t>Consejería en casos de trauma o crisis.</w:t>
      </w:r>
    </w:p>
    <w:p w:rsidR="009E762D" w:rsidRPr="006F660A" w:rsidRDefault="009E762D" w:rsidP="00843F84">
      <w:pPr>
        <w:pStyle w:val="Prrafodelista"/>
        <w:numPr>
          <w:ilvl w:val="0"/>
          <w:numId w:val="4"/>
        </w:numPr>
        <w:spacing w:after="0" w:line="360" w:lineRule="auto"/>
        <w:jc w:val="both"/>
      </w:pPr>
      <w:r w:rsidRPr="006F660A">
        <w:t>Violencia y consejería.</w:t>
      </w:r>
    </w:p>
    <w:p w:rsidR="009E762D" w:rsidRPr="006F660A" w:rsidRDefault="009E762D" w:rsidP="00843F84">
      <w:pPr>
        <w:pStyle w:val="Prrafodelista"/>
        <w:numPr>
          <w:ilvl w:val="0"/>
          <w:numId w:val="4"/>
        </w:numPr>
        <w:spacing w:after="0" w:line="360" w:lineRule="auto"/>
        <w:jc w:val="both"/>
      </w:pPr>
      <w:r w:rsidRPr="006F660A">
        <w:t>Problemática de la mujer y consejería.</w:t>
      </w:r>
    </w:p>
    <w:p w:rsidR="009E762D" w:rsidRPr="006F660A" w:rsidRDefault="009E762D" w:rsidP="00843F84">
      <w:pPr>
        <w:pStyle w:val="Prrafodelista"/>
        <w:numPr>
          <w:ilvl w:val="0"/>
          <w:numId w:val="4"/>
        </w:numPr>
        <w:spacing w:after="0" w:line="360" w:lineRule="auto"/>
        <w:jc w:val="both"/>
      </w:pPr>
      <w:r w:rsidRPr="006F660A">
        <w:t>Inclusión y consejería.</w:t>
      </w:r>
    </w:p>
    <w:p w:rsidR="009E762D" w:rsidRPr="006F660A" w:rsidRDefault="009E762D" w:rsidP="00843F84">
      <w:pPr>
        <w:pStyle w:val="Prrafodelista"/>
        <w:numPr>
          <w:ilvl w:val="0"/>
          <w:numId w:val="4"/>
        </w:numPr>
        <w:spacing w:after="0" w:line="360" w:lineRule="auto"/>
        <w:jc w:val="both"/>
      </w:pPr>
      <w:r w:rsidRPr="006F660A">
        <w:t>Clima institucional y consejería.</w:t>
      </w:r>
    </w:p>
    <w:p w:rsidR="009E762D" w:rsidRPr="006F660A" w:rsidRDefault="009E762D" w:rsidP="00C5692D">
      <w:pPr>
        <w:spacing w:after="0" w:line="360" w:lineRule="auto"/>
        <w:jc w:val="both"/>
      </w:pPr>
    </w:p>
    <w:p w:rsidR="00C5692D" w:rsidRPr="006F660A" w:rsidRDefault="00C5692D" w:rsidP="006F660A">
      <w:pPr>
        <w:pStyle w:val="Prrafodelista"/>
        <w:numPr>
          <w:ilvl w:val="0"/>
          <w:numId w:val="11"/>
        </w:numPr>
        <w:spacing w:after="0" w:line="360" w:lineRule="auto"/>
        <w:ind w:left="284" w:hanging="284"/>
        <w:jc w:val="both"/>
        <w:rPr>
          <w:b/>
        </w:rPr>
      </w:pPr>
      <w:r w:rsidRPr="006F660A">
        <w:rPr>
          <w:b/>
        </w:rPr>
        <w:t>Maestría en Educación con mención en Diseño y Gestión Curricular</w:t>
      </w:r>
    </w:p>
    <w:p w:rsidR="00C5692D" w:rsidRPr="006F660A" w:rsidRDefault="00C5692D" w:rsidP="00C5692D">
      <w:pPr>
        <w:spacing w:after="0" w:line="360" w:lineRule="auto"/>
        <w:jc w:val="both"/>
      </w:pPr>
      <w:r w:rsidRPr="006F660A">
        <w:t>Las líneas de investigación de la maestría son las siguientes:</w:t>
      </w:r>
    </w:p>
    <w:p w:rsidR="00C5692D" w:rsidRPr="006F660A" w:rsidRDefault="00C5692D" w:rsidP="00C5692D">
      <w:pPr>
        <w:pStyle w:val="Prrafodelista"/>
        <w:numPr>
          <w:ilvl w:val="0"/>
          <w:numId w:val="4"/>
        </w:numPr>
        <w:spacing w:after="0" w:line="360" w:lineRule="auto"/>
        <w:jc w:val="both"/>
      </w:pPr>
      <w:r w:rsidRPr="006F660A">
        <w:t>Evaluación de aprendizajes y políticas curriculares.</w:t>
      </w:r>
    </w:p>
    <w:p w:rsidR="00C5692D" w:rsidRPr="006F660A" w:rsidRDefault="00C5692D" w:rsidP="00C5692D">
      <w:pPr>
        <w:pStyle w:val="Prrafodelista"/>
        <w:numPr>
          <w:ilvl w:val="0"/>
          <w:numId w:val="4"/>
        </w:numPr>
        <w:spacing w:after="0" w:line="360" w:lineRule="auto"/>
        <w:jc w:val="both"/>
      </w:pPr>
      <w:r w:rsidRPr="006F660A">
        <w:t>Interculturalidad, diversidad y currículo.</w:t>
      </w:r>
    </w:p>
    <w:p w:rsidR="00C5692D" w:rsidRPr="006F660A" w:rsidRDefault="00C5692D" w:rsidP="00C5692D">
      <w:pPr>
        <w:pStyle w:val="Prrafodelista"/>
        <w:numPr>
          <w:ilvl w:val="0"/>
          <w:numId w:val="4"/>
        </w:numPr>
        <w:spacing w:after="0" w:line="360" w:lineRule="auto"/>
        <w:jc w:val="both"/>
      </w:pPr>
      <w:r w:rsidRPr="006F660A">
        <w:t>Relación entre políticas curriculares y práctica docente.</w:t>
      </w:r>
    </w:p>
    <w:p w:rsidR="00C5692D" w:rsidRPr="006F660A" w:rsidRDefault="00C5692D" w:rsidP="00C5692D">
      <w:pPr>
        <w:spacing w:after="0" w:line="360" w:lineRule="auto"/>
        <w:jc w:val="both"/>
      </w:pPr>
    </w:p>
    <w:p w:rsidR="00C5692D" w:rsidRPr="006F660A" w:rsidRDefault="00C5692D" w:rsidP="006F660A">
      <w:pPr>
        <w:pStyle w:val="Prrafodelista"/>
        <w:numPr>
          <w:ilvl w:val="0"/>
          <w:numId w:val="11"/>
        </w:numPr>
        <w:spacing w:after="0" w:line="360" w:lineRule="auto"/>
        <w:ind w:left="284" w:hanging="284"/>
        <w:jc w:val="both"/>
        <w:rPr>
          <w:b/>
        </w:rPr>
      </w:pPr>
      <w:r w:rsidRPr="006F660A">
        <w:rPr>
          <w:b/>
        </w:rPr>
        <w:t>Maestría en Educación con mención en Docencia Universitaria</w:t>
      </w:r>
    </w:p>
    <w:p w:rsidR="009E762D" w:rsidRPr="006F660A" w:rsidRDefault="009E762D" w:rsidP="00C5692D">
      <w:pPr>
        <w:spacing w:after="0" w:line="360" w:lineRule="auto"/>
        <w:jc w:val="both"/>
      </w:pPr>
      <w:r w:rsidRPr="006F660A">
        <w:t>Las categorías temáticas en las cuáles se realizarán los proyectos de investigación son las siguientes:</w:t>
      </w:r>
    </w:p>
    <w:p w:rsidR="009E762D" w:rsidRPr="006F660A" w:rsidRDefault="009E762D" w:rsidP="00C5692D">
      <w:pPr>
        <w:pStyle w:val="Prrafodelista"/>
        <w:numPr>
          <w:ilvl w:val="0"/>
          <w:numId w:val="4"/>
        </w:numPr>
        <w:spacing w:after="0" w:line="360" w:lineRule="auto"/>
        <w:jc w:val="both"/>
      </w:pPr>
      <w:r w:rsidRPr="006F660A">
        <w:rPr>
          <w:i/>
        </w:rPr>
        <w:t>Currículo por competencias en educación superior</w:t>
      </w:r>
      <w:r w:rsidR="00843F84" w:rsidRPr="006F660A">
        <w:t xml:space="preserve">. </w:t>
      </w:r>
      <w:r w:rsidRPr="006F660A">
        <w:t>Esta línea de investigación explora las dimensiones de pertinencia y eficacia de los</w:t>
      </w:r>
      <w:bookmarkStart w:id="0" w:name="_GoBack"/>
      <w:bookmarkEnd w:id="0"/>
      <w:r w:rsidRPr="006F660A">
        <w:t xml:space="preserve"> currículos por competencias como instrumentos para el desarrollo de competencias profesionales en diversos campos disciplinares. Analiza los alcances y limitaciones del currículo por competencias en la educación superior, así como los contextos y variables que afectan o permiten su eficacia.</w:t>
      </w:r>
    </w:p>
    <w:p w:rsidR="009E762D" w:rsidRPr="006F660A" w:rsidRDefault="009E762D" w:rsidP="00C5692D">
      <w:pPr>
        <w:pStyle w:val="Prrafodelista"/>
        <w:numPr>
          <w:ilvl w:val="0"/>
          <w:numId w:val="4"/>
        </w:numPr>
        <w:spacing w:after="0" w:line="360" w:lineRule="auto"/>
        <w:jc w:val="both"/>
      </w:pPr>
      <w:r w:rsidRPr="006F660A">
        <w:rPr>
          <w:i/>
        </w:rPr>
        <w:t>Innovación pedagógica</w:t>
      </w:r>
      <w:r w:rsidR="00843F84" w:rsidRPr="006F660A">
        <w:t xml:space="preserve">. </w:t>
      </w:r>
      <w:r w:rsidRPr="006F660A">
        <w:t>Esta línea de investigación estudia la naturaleza, características, tipos e impactos de las innovaciones pedagógicas producidas en la educación superior, tanto en la formación regular de pre-grado como en la formación a lo largo de la vida profesional o continua. Analiza este fenómeno desde su dimensión: pedagógica, social, organizacional y afectiva o motivacional de quienes producen las innovaciones, en diferentes contextos.</w:t>
      </w:r>
    </w:p>
    <w:p w:rsidR="009E762D" w:rsidRPr="006F660A" w:rsidRDefault="009E762D" w:rsidP="00C5692D">
      <w:pPr>
        <w:pStyle w:val="Prrafodelista"/>
        <w:numPr>
          <w:ilvl w:val="0"/>
          <w:numId w:val="4"/>
        </w:numPr>
        <w:spacing w:after="0" w:line="360" w:lineRule="auto"/>
        <w:jc w:val="both"/>
      </w:pPr>
      <w:r w:rsidRPr="006F660A">
        <w:rPr>
          <w:i/>
        </w:rPr>
        <w:t>Evaluación de aprendizajes en educación superior</w:t>
      </w:r>
      <w:r w:rsidR="00843F84" w:rsidRPr="006F660A">
        <w:t xml:space="preserve">. </w:t>
      </w:r>
      <w:r w:rsidRPr="006F660A">
        <w:t xml:space="preserve">Esta línea estudia las prácticas, mecanismos e instrumentos de evaluación de aprendizajes en la educación superior, en </w:t>
      </w:r>
      <w:r w:rsidRPr="006F660A">
        <w:lastRenderedPageBreak/>
        <w:t xml:space="preserve">términos de su confiabilidad, pertinencia y </w:t>
      </w:r>
      <w:proofErr w:type="spellStart"/>
      <w:r w:rsidRPr="006F660A">
        <w:t>replicabilidad</w:t>
      </w:r>
      <w:proofErr w:type="spellEnd"/>
      <w:r w:rsidRPr="006F660A">
        <w:t xml:space="preserve"> en contextos diversos. Esta línea busca aportar al desarrollo de mejores prácticas y políticas de evaluación de aprendizajes como medio para la mejora de los procesos de enseñanza-aprendizaje. </w:t>
      </w:r>
    </w:p>
    <w:p w:rsidR="009E762D" w:rsidRPr="006F660A" w:rsidRDefault="009E762D" w:rsidP="00C5692D">
      <w:pPr>
        <w:pStyle w:val="Prrafodelista"/>
        <w:numPr>
          <w:ilvl w:val="0"/>
          <w:numId w:val="4"/>
        </w:numPr>
        <w:spacing w:after="0" w:line="360" w:lineRule="auto"/>
        <w:jc w:val="both"/>
      </w:pPr>
      <w:r w:rsidRPr="006F660A">
        <w:rPr>
          <w:i/>
        </w:rPr>
        <w:t>Evaluación de desempeño docente</w:t>
      </w:r>
      <w:r w:rsidR="00843F84" w:rsidRPr="006F660A">
        <w:t xml:space="preserve">. </w:t>
      </w:r>
      <w:r w:rsidRPr="006F660A">
        <w:t>Esta línea de investigación explora las diversas dimensiones alrededor de la evaluación docente, tanto la pertinencia y eficacia de sus procedimientos, mecanismos e instrumentos, como las concepciones que se encuentran a la base y su impacto en los resultados.</w:t>
      </w:r>
    </w:p>
    <w:p w:rsidR="009E762D" w:rsidRPr="006F660A" w:rsidRDefault="009E762D" w:rsidP="00C5692D">
      <w:pPr>
        <w:pStyle w:val="Prrafodelista"/>
        <w:numPr>
          <w:ilvl w:val="0"/>
          <w:numId w:val="4"/>
        </w:numPr>
        <w:spacing w:after="0" w:line="360" w:lineRule="auto"/>
        <w:jc w:val="both"/>
      </w:pPr>
      <w:r w:rsidRPr="006F660A">
        <w:rPr>
          <w:i/>
        </w:rPr>
        <w:t>Gestión y calidad universitaria</w:t>
      </w:r>
      <w:r w:rsidR="00843F84" w:rsidRPr="006F660A">
        <w:t xml:space="preserve">. </w:t>
      </w:r>
      <w:r w:rsidRPr="006F660A">
        <w:t>Esta línea estudia las políticas y procesos institucionales de gestión de la calidad en las instituciones de educación superior de manera comparada. Se busca aportar al reconocimiento de las condiciones y variables que favorecen el éxito de la mejora continua en la educación superior.</w:t>
      </w:r>
    </w:p>
    <w:p w:rsidR="009E762D" w:rsidRPr="006F660A" w:rsidRDefault="009E762D" w:rsidP="00C5692D">
      <w:pPr>
        <w:pStyle w:val="Prrafodelista"/>
        <w:numPr>
          <w:ilvl w:val="0"/>
          <w:numId w:val="4"/>
        </w:numPr>
        <w:spacing w:after="0" w:line="360" w:lineRule="auto"/>
        <w:jc w:val="both"/>
      </w:pPr>
      <w:r w:rsidRPr="006F660A">
        <w:rPr>
          <w:i/>
        </w:rPr>
        <w:t>Tecnologías aplicadas a la educación</w:t>
      </w:r>
      <w:r w:rsidR="00843F84" w:rsidRPr="006F660A">
        <w:t xml:space="preserve">. </w:t>
      </w:r>
      <w:r w:rsidRPr="006F660A">
        <w:t>Esta línea explora las potencialidades y limitaciones del uso de la tecnología para el desarrollo de aprendizajes en la educación superior. Analiza diferentes modelos de enseñanza y la eficacia del uso de las tecnologías de la educación en el aprendizaje y desarrollo de competencias (profesionales, genéricas, básicas).</w:t>
      </w:r>
    </w:p>
    <w:p w:rsidR="009E762D" w:rsidRPr="006F660A" w:rsidRDefault="009E762D" w:rsidP="00C5692D">
      <w:pPr>
        <w:spacing w:after="0" w:line="360" w:lineRule="auto"/>
        <w:jc w:val="both"/>
      </w:pPr>
    </w:p>
    <w:p w:rsidR="00C5692D" w:rsidRPr="006F660A" w:rsidRDefault="00C5692D" w:rsidP="006F660A">
      <w:pPr>
        <w:pStyle w:val="Prrafodelista"/>
        <w:numPr>
          <w:ilvl w:val="0"/>
          <w:numId w:val="11"/>
        </w:numPr>
        <w:spacing w:after="0" w:line="360" w:lineRule="auto"/>
        <w:ind w:left="284" w:hanging="284"/>
        <w:jc w:val="both"/>
        <w:rPr>
          <w:b/>
        </w:rPr>
      </w:pPr>
      <w:r w:rsidRPr="006F660A">
        <w:rPr>
          <w:b/>
        </w:rPr>
        <w:t>Maestría en Educación con mención en Gestión de Instituciones Educativas</w:t>
      </w:r>
    </w:p>
    <w:p w:rsidR="00C5692D" w:rsidRPr="006F660A" w:rsidRDefault="00C5692D" w:rsidP="00C5692D">
      <w:pPr>
        <w:spacing w:after="0" w:line="360" w:lineRule="auto"/>
        <w:jc w:val="both"/>
      </w:pPr>
      <w:r w:rsidRPr="006F660A">
        <w:t xml:space="preserve">Se promoverá las tesis y trabajos técnicos que estén enmarcados dentro de las diez (10) líneas de investigación. El alumno deberá seleccionar su área de trabajo al inicio del segundo ciclo regular: </w:t>
      </w:r>
    </w:p>
    <w:p w:rsidR="00C5692D" w:rsidRPr="006F660A" w:rsidRDefault="00C5692D" w:rsidP="00C5692D">
      <w:pPr>
        <w:pStyle w:val="Prrafodelista"/>
        <w:numPr>
          <w:ilvl w:val="0"/>
          <w:numId w:val="13"/>
        </w:numPr>
        <w:spacing w:after="0" w:line="360" w:lineRule="auto"/>
        <w:jc w:val="both"/>
      </w:pPr>
      <w:r w:rsidRPr="006F660A">
        <w:t xml:space="preserve">Modelos de gestión educativa territorial y desarrollo institucional. </w:t>
      </w:r>
    </w:p>
    <w:p w:rsidR="00C5692D" w:rsidRPr="006F660A" w:rsidRDefault="00C5692D" w:rsidP="00C5692D">
      <w:pPr>
        <w:pStyle w:val="Prrafodelista"/>
        <w:numPr>
          <w:ilvl w:val="0"/>
          <w:numId w:val="13"/>
        </w:numPr>
        <w:spacing w:after="0" w:line="360" w:lineRule="auto"/>
        <w:jc w:val="both"/>
      </w:pPr>
      <w:r w:rsidRPr="006F660A">
        <w:t>Autoevaluación y mejora de la gestión escolar.</w:t>
      </w:r>
    </w:p>
    <w:p w:rsidR="00C5692D" w:rsidRPr="006F660A" w:rsidRDefault="00C5692D" w:rsidP="00C5692D">
      <w:pPr>
        <w:pStyle w:val="Prrafodelista"/>
        <w:numPr>
          <w:ilvl w:val="0"/>
          <w:numId w:val="13"/>
        </w:numPr>
        <w:spacing w:after="0" w:line="360" w:lineRule="auto"/>
        <w:jc w:val="both"/>
      </w:pPr>
      <w:r w:rsidRPr="006F660A">
        <w:t>Organización del sector educativo desde un enfoque de resultados.</w:t>
      </w:r>
    </w:p>
    <w:p w:rsidR="00C5692D" w:rsidRPr="006F660A" w:rsidRDefault="00C5692D" w:rsidP="00C5692D">
      <w:pPr>
        <w:pStyle w:val="Prrafodelista"/>
        <w:numPr>
          <w:ilvl w:val="0"/>
          <w:numId w:val="13"/>
        </w:numPr>
        <w:spacing w:after="0" w:line="360" w:lineRule="auto"/>
        <w:jc w:val="both"/>
      </w:pPr>
      <w:r w:rsidRPr="006F660A">
        <w:t>Acompañamiento docente e impacto en los logros de aprendizaje.</w:t>
      </w:r>
    </w:p>
    <w:p w:rsidR="00C5692D" w:rsidRPr="006F660A" w:rsidRDefault="00C5692D" w:rsidP="00C5692D">
      <w:pPr>
        <w:pStyle w:val="Prrafodelista"/>
        <w:numPr>
          <w:ilvl w:val="0"/>
          <w:numId w:val="13"/>
        </w:numPr>
        <w:spacing w:after="0" w:line="360" w:lineRule="auto"/>
        <w:jc w:val="both"/>
      </w:pPr>
      <w:r w:rsidRPr="006F660A">
        <w:t>Resolución de conflictos en el entorno educativo.</w:t>
      </w:r>
    </w:p>
    <w:p w:rsidR="00C5692D" w:rsidRPr="006F660A" w:rsidRDefault="00C5692D" w:rsidP="00C5692D">
      <w:pPr>
        <w:pStyle w:val="Prrafodelista"/>
        <w:numPr>
          <w:ilvl w:val="0"/>
          <w:numId w:val="13"/>
        </w:numPr>
        <w:spacing w:after="0" w:line="360" w:lineRule="auto"/>
        <w:jc w:val="both"/>
      </w:pPr>
      <w:r w:rsidRPr="006F660A">
        <w:t>Organización de ambientes de aprendizaje.</w:t>
      </w:r>
    </w:p>
    <w:p w:rsidR="00C5692D" w:rsidRPr="006F660A" w:rsidRDefault="00C5692D" w:rsidP="00C5692D">
      <w:pPr>
        <w:pStyle w:val="Prrafodelista"/>
        <w:numPr>
          <w:ilvl w:val="0"/>
          <w:numId w:val="13"/>
        </w:numPr>
        <w:spacing w:after="0" w:line="360" w:lineRule="auto"/>
        <w:jc w:val="both"/>
      </w:pPr>
      <w:r w:rsidRPr="006F660A">
        <w:t>Liderazgo del equipo directivo y desarrollo de capacidades en la comunidad educativa.</w:t>
      </w:r>
    </w:p>
    <w:p w:rsidR="00C5692D" w:rsidRPr="006F660A" w:rsidRDefault="00C5692D" w:rsidP="00C5692D">
      <w:pPr>
        <w:pStyle w:val="Prrafodelista"/>
        <w:numPr>
          <w:ilvl w:val="0"/>
          <w:numId w:val="13"/>
        </w:numPr>
        <w:spacing w:after="0" w:line="360" w:lineRule="auto"/>
        <w:jc w:val="both"/>
      </w:pPr>
      <w:r w:rsidRPr="006F660A">
        <w:t>Gestión educativa con calidad, equidad y pertinencia.</w:t>
      </w:r>
    </w:p>
    <w:p w:rsidR="00C5692D" w:rsidRPr="006F660A" w:rsidRDefault="00C5692D" w:rsidP="00C5692D">
      <w:pPr>
        <w:pStyle w:val="Prrafodelista"/>
        <w:numPr>
          <w:ilvl w:val="0"/>
          <w:numId w:val="13"/>
        </w:numPr>
        <w:spacing w:after="0" w:line="360" w:lineRule="auto"/>
        <w:jc w:val="both"/>
      </w:pPr>
      <w:r w:rsidRPr="006F660A">
        <w:t>Las Tics y su impacto en la gestión institucional de las instituciones educativas.</w:t>
      </w:r>
    </w:p>
    <w:p w:rsidR="00C5692D" w:rsidRPr="006F660A" w:rsidRDefault="00C5692D" w:rsidP="00C5692D">
      <w:pPr>
        <w:pStyle w:val="Prrafodelista"/>
        <w:numPr>
          <w:ilvl w:val="0"/>
          <w:numId w:val="13"/>
        </w:numPr>
        <w:spacing w:after="0" w:line="360" w:lineRule="auto"/>
        <w:jc w:val="both"/>
      </w:pPr>
      <w:r w:rsidRPr="006F660A">
        <w:t>Respuesta de la institución educativa a las políticas educativas nacionales y regionales.</w:t>
      </w:r>
    </w:p>
    <w:p w:rsidR="00C5692D" w:rsidRPr="006F660A" w:rsidRDefault="00C5692D" w:rsidP="00C5692D">
      <w:pPr>
        <w:spacing w:after="0" w:line="360" w:lineRule="auto"/>
        <w:jc w:val="both"/>
      </w:pPr>
    </w:p>
    <w:p w:rsidR="00C5692D" w:rsidRPr="006F660A" w:rsidRDefault="00C5692D" w:rsidP="006F660A">
      <w:pPr>
        <w:pStyle w:val="Prrafodelista"/>
        <w:numPr>
          <w:ilvl w:val="0"/>
          <w:numId w:val="11"/>
        </w:numPr>
        <w:spacing w:after="0" w:line="360" w:lineRule="auto"/>
        <w:ind w:left="284" w:hanging="284"/>
        <w:jc w:val="both"/>
        <w:rPr>
          <w:b/>
        </w:rPr>
      </w:pPr>
      <w:r w:rsidRPr="006F660A">
        <w:rPr>
          <w:b/>
        </w:rPr>
        <w:lastRenderedPageBreak/>
        <w:t>Maestría en Filosofía con mención en Ética y Política</w:t>
      </w:r>
    </w:p>
    <w:p w:rsidR="00946020" w:rsidRPr="006F660A" w:rsidRDefault="00946020" w:rsidP="00C5692D">
      <w:pPr>
        <w:spacing w:after="0" w:line="360" w:lineRule="auto"/>
        <w:jc w:val="both"/>
      </w:pPr>
      <w:r w:rsidRPr="006F660A">
        <w:t>Las líneas prioritarias de investigación son las siguientes:</w:t>
      </w:r>
    </w:p>
    <w:p w:rsidR="00946020" w:rsidRPr="006F660A" w:rsidRDefault="00946020" w:rsidP="00C5692D">
      <w:pPr>
        <w:pStyle w:val="Prrafodelista"/>
        <w:numPr>
          <w:ilvl w:val="0"/>
          <w:numId w:val="4"/>
        </w:numPr>
        <w:spacing w:after="0" w:line="360" w:lineRule="auto"/>
        <w:jc w:val="both"/>
      </w:pPr>
      <w:r w:rsidRPr="006F660A">
        <w:t>Temáticas y problemas éticos relacionados a los problemas de tolerancia, respeto y dignidad en un contexto de políticas interculturales.</w:t>
      </w:r>
    </w:p>
    <w:p w:rsidR="00946020" w:rsidRPr="006F660A" w:rsidRDefault="00946020" w:rsidP="00C5692D">
      <w:pPr>
        <w:pStyle w:val="Prrafodelista"/>
        <w:numPr>
          <w:ilvl w:val="0"/>
          <w:numId w:val="4"/>
        </w:numPr>
        <w:spacing w:after="0" w:line="360" w:lineRule="auto"/>
        <w:jc w:val="both"/>
      </w:pPr>
      <w:r w:rsidRPr="006F660A">
        <w:t>Temáticas y problemas éticos relacionados a la noción de ciudadanía participativa como parte del fortalecimiento de la democracia respetando la institucionalidad estatal y civil.</w:t>
      </w:r>
    </w:p>
    <w:p w:rsidR="00946020" w:rsidRPr="006F660A" w:rsidRDefault="00946020" w:rsidP="00C5692D">
      <w:pPr>
        <w:pStyle w:val="Prrafodelista"/>
        <w:numPr>
          <w:ilvl w:val="0"/>
          <w:numId w:val="4"/>
        </w:numPr>
        <w:spacing w:after="0" w:line="360" w:lineRule="auto"/>
        <w:jc w:val="both"/>
      </w:pPr>
      <w:r w:rsidRPr="006F660A">
        <w:t>Temáticas y problemas éticos relacionados a la reflexión teórico-filosófica y su relación directa con la praxis política considerando la realidad peruana.</w:t>
      </w:r>
    </w:p>
    <w:p w:rsidR="00946020" w:rsidRPr="006F660A" w:rsidRDefault="00946020" w:rsidP="00C5692D">
      <w:pPr>
        <w:spacing w:after="0" w:line="360" w:lineRule="auto"/>
        <w:jc w:val="both"/>
      </w:pPr>
    </w:p>
    <w:p w:rsidR="00C5692D" w:rsidRPr="006F660A" w:rsidRDefault="00C5692D" w:rsidP="006F660A">
      <w:pPr>
        <w:pStyle w:val="Prrafodelista"/>
        <w:numPr>
          <w:ilvl w:val="0"/>
          <w:numId w:val="11"/>
        </w:numPr>
        <w:spacing w:after="0" w:line="360" w:lineRule="auto"/>
        <w:ind w:left="284" w:hanging="284"/>
        <w:jc w:val="both"/>
        <w:rPr>
          <w:b/>
        </w:rPr>
      </w:pPr>
      <w:r w:rsidRPr="006F660A">
        <w:rPr>
          <w:b/>
        </w:rPr>
        <w:t>Maestría en Neurociencia y Educación</w:t>
      </w:r>
    </w:p>
    <w:p w:rsidR="000B13BD" w:rsidRPr="006F660A" w:rsidRDefault="000B13BD" w:rsidP="00C5692D">
      <w:pPr>
        <w:spacing w:after="0" w:line="360" w:lineRule="auto"/>
        <w:jc w:val="both"/>
      </w:pPr>
      <w:r w:rsidRPr="006F660A">
        <w:t>Las líneas de investigación en la Maestría estarán vinculadas a las líneas de investigación de la Facultad de Filosofía y Ciencias humanas de la UARM, CEREBRUM y de los laboratorios de convenios. Los principales ejes son:</w:t>
      </w:r>
    </w:p>
    <w:p w:rsidR="000B13BD" w:rsidRPr="006F660A" w:rsidRDefault="000B13BD" w:rsidP="00C5692D">
      <w:pPr>
        <w:pStyle w:val="Prrafodelista"/>
        <w:numPr>
          <w:ilvl w:val="0"/>
          <w:numId w:val="4"/>
        </w:numPr>
        <w:spacing w:after="0" w:line="360" w:lineRule="auto"/>
        <w:jc w:val="both"/>
      </w:pPr>
      <w:r w:rsidRPr="006F660A">
        <w:t>Aprendizaje y Memoria</w:t>
      </w:r>
    </w:p>
    <w:p w:rsidR="000B13BD" w:rsidRPr="006F660A" w:rsidRDefault="000B13BD" w:rsidP="00C5692D">
      <w:pPr>
        <w:pStyle w:val="Prrafodelista"/>
        <w:numPr>
          <w:ilvl w:val="0"/>
          <w:numId w:val="4"/>
        </w:numPr>
        <w:spacing w:after="0" w:line="360" w:lineRule="auto"/>
        <w:jc w:val="both"/>
      </w:pPr>
      <w:r w:rsidRPr="006F660A">
        <w:t>Desarrollo cerebral y primera infancia</w:t>
      </w:r>
    </w:p>
    <w:p w:rsidR="000B13BD" w:rsidRPr="006F660A" w:rsidRDefault="000B13BD" w:rsidP="00C5692D">
      <w:pPr>
        <w:pStyle w:val="Prrafodelista"/>
        <w:numPr>
          <w:ilvl w:val="0"/>
          <w:numId w:val="4"/>
        </w:numPr>
        <w:spacing w:after="0" w:line="360" w:lineRule="auto"/>
        <w:jc w:val="both"/>
      </w:pPr>
      <w:r w:rsidRPr="006F660A">
        <w:t>Sueño y aprendizaje</w:t>
      </w:r>
    </w:p>
    <w:p w:rsidR="000B13BD" w:rsidRPr="006F660A" w:rsidRDefault="000B13BD" w:rsidP="00C5692D">
      <w:pPr>
        <w:pStyle w:val="Prrafodelista"/>
        <w:numPr>
          <w:ilvl w:val="0"/>
          <w:numId w:val="4"/>
        </w:numPr>
        <w:spacing w:after="0" w:line="360" w:lineRule="auto"/>
        <w:jc w:val="both"/>
      </w:pPr>
      <w:r w:rsidRPr="006F660A">
        <w:t>Desarrollo socioemocional</w:t>
      </w:r>
    </w:p>
    <w:p w:rsidR="000B308F" w:rsidRPr="006F660A" w:rsidRDefault="000B308F" w:rsidP="000B308F">
      <w:pPr>
        <w:spacing w:after="0" w:line="360" w:lineRule="auto"/>
        <w:jc w:val="both"/>
      </w:pPr>
    </w:p>
    <w:p w:rsidR="004248BB" w:rsidRPr="006F660A" w:rsidRDefault="004248BB" w:rsidP="000B308F">
      <w:pPr>
        <w:spacing w:after="0" w:line="360" w:lineRule="auto"/>
        <w:jc w:val="both"/>
      </w:pPr>
    </w:p>
    <w:p w:rsidR="000B308F" w:rsidRPr="006F660A" w:rsidRDefault="004248BB" w:rsidP="004248BB">
      <w:pPr>
        <w:spacing w:after="0" w:line="360" w:lineRule="auto"/>
        <w:jc w:val="right"/>
      </w:pPr>
      <w:r w:rsidRPr="006F660A">
        <w:t>Pueblo Libre, 14 de mayo de 2018</w:t>
      </w:r>
    </w:p>
    <w:sectPr w:rsidR="000B308F" w:rsidRPr="006F660A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8BB" w:rsidRDefault="004248BB" w:rsidP="004248BB">
      <w:pPr>
        <w:spacing w:after="0" w:line="240" w:lineRule="auto"/>
      </w:pPr>
      <w:r>
        <w:separator/>
      </w:r>
    </w:p>
  </w:endnote>
  <w:endnote w:type="continuationSeparator" w:id="0">
    <w:p w:rsidR="004248BB" w:rsidRDefault="004248BB" w:rsidP="00424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8BB" w:rsidRDefault="004248BB" w:rsidP="004248BB">
      <w:pPr>
        <w:spacing w:after="0" w:line="240" w:lineRule="auto"/>
      </w:pPr>
      <w:r>
        <w:separator/>
      </w:r>
    </w:p>
  </w:footnote>
  <w:footnote w:type="continuationSeparator" w:id="0">
    <w:p w:rsidR="004248BB" w:rsidRDefault="004248BB" w:rsidP="00424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BB" w:rsidRDefault="004248BB">
    <w:pPr>
      <w:pStyle w:val="Encabezado"/>
    </w:pPr>
    <w:r>
      <w:rPr>
        <w:noProof/>
        <w:lang w:eastAsia="es-PE"/>
      </w:rPr>
      <w:drawing>
        <wp:inline distT="0" distB="0" distL="0" distR="0">
          <wp:extent cx="2380096" cy="800100"/>
          <wp:effectExtent l="0" t="0" r="127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8487" cy="8130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1D89"/>
    <w:multiLevelType w:val="hybridMultilevel"/>
    <w:tmpl w:val="5A18A7C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84281"/>
    <w:multiLevelType w:val="hybridMultilevel"/>
    <w:tmpl w:val="29B45ABE"/>
    <w:lvl w:ilvl="0" w:tplc="5A9682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A55B4"/>
    <w:multiLevelType w:val="hybridMultilevel"/>
    <w:tmpl w:val="5742F132"/>
    <w:lvl w:ilvl="0" w:tplc="5D142224">
      <w:numFmt w:val="bullet"/>
      <w:lvlText w:val="•"/>
      <w:lvlJc w:val="left"/>
      <w:pPr>
        <w:ind w:left="1065" w:hanging="705"/>
      </w:pPr>
      <w:rPr>
        <w:rFonts w:ascii="Cambria" w:eastAsiaTheme="minorHAnsi" w:hAnsi="Cambria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2679B"/>
    <w:multiLevelType w:val="hybridMultilevel"/>
    <w:tmpl w:val="BF86E8E6"/>
    <w:lvl w:ilvl="0" w:tplc="46244E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F798F"/>
    <w:multiLevelType w:val="hybridMultilevel"/>
    <w:tmpl w:val="E1EE065C"/>
    <w:lvl w:ilvl="0" w:tplc="5D142224">
      <w:numFmt w:val="bullet"/>
      <w:lvlText w:val="•"/>
      <w:lvlJc w:val="left"/>
      <w:pPr>
        <w:ind w:left="1065" w:hanging="705"/>
      </w:pPr>
      <w:rPr>
        <w:rFonts w:ascii="Cambria" w:eastAsiaTheme="minorHAnsi" w:hAnsi="Cambria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5757E"/>
    <w:multiLevelType w:val="hybridMultilevel"/>
    <w:tmpl w:val="75C22FC2"/>
    <w:lvl w:ilvl="0" w:tplc="5D142224">
      <w:numFmt w:val="bullet"/>
      <w:lvlText w:val="•"/>
      <w:lvlJc w:val="left"/>
      <w:pPr>
        <w:ind w:left="1065" w:hanging="705"/>
      </w:pPr>
      <w:rPr>
        <w:rFonts w:ascii="Cambria" w:eastAsiaTheme="minorHAnsi" w:hAnsi="Cambria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71A13"/>
    <w:multiLevelType w:val="hybridMultilevel"/>
    <w:tmpl w:val="BF2A2822"/>
    <w:lvl w:ilvl="0" w:tplc="EDD49042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F61094"/>
    <w:multiLevelType w:val="hybridMultilevel"/>
    <w:tmpl w:val="3F642C8A"/>
    <w:lvl w:ilvl="0" w:tplc="5D142224">
      <w:numFmt w:val="bullet"/>
      <w:lvlText w:val="•"/>
      <w:lvlJc w:val="left"/>
      <w:pPr>
        <w:ind w:left="1065" w:hanging="705"/>
      </w:pPr>
      <w:rPr>
        <w:rFonts w:ascii="Cambria" w:eastAsiaTheme="minorHAnsi" w:hAnsi="Cambria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9317C3"/>
    <w:multiLevelType w:val="hybridMultilevel"/>
    <w:tmpl w:val="6E2ACFEA"/>
    <w:lvl w:ilvl="0" w:tplc="28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291ABB"/>
    <w:multiLevelType w:val="hybridMultilevel"/>
    <w:tmpl w:val="A502B3FE"/>
    <w:lvl w:ilvl="0" w:tplc="5A9682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A09FC"/>
    <w:multiLevelType w:val="hybridMultilevel"/>
    <w:tmpl w:val="F3906EEE"/>
    <w:lvl w:ilvl="0" w:tplc="5A9682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3438D"/>
    <w:multiLevelType w:val="hybridMultilevel"/>
    <w:tmpl w:val="6B68FA3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D354B"/>
    <w:multiLevelType w:val="hybridMultilevel"/>
    <w:tmpl w:val="8012C1DA"/>
    <w:lvl w:ilvl="0" w:tplc="EDD49042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C71A6E"/>
    <w:multiLevelType w:val="hybridMultilevel"/>
    <w:tmpl w:val="5956B3D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2"/>
  </w:num>
  <w:num w:numId="4">
    <w:abstractNumId w:val="4"/>
  </w:num>
  <w:num w:numId="5">
    <w:abstractNumId w:val="2"/>
  </w:num>
  <w:num w:numId="6">
    <w:abstractNumId w:val="11"/>
  </w:num>
  <w:num w:numId="7">
    <w:abstractNumId w:val="10"/>
  </w:num>
  <w:num w:numId="8">
    <w:abstractNumId w:val="1"/>
  </w:num>
  <w:num w:numId="9">
    <w:abstractNumId w:val="9"/>
  </w:num>
  <w:num w:numId="10">
    <w:abstractNumId w:val="5"/>
  </w:num>
  <w:num w:numId="11">
    <w:abstractNumId w:val="0"/>
  </w:num>
  <w:num w:numId="12">
    <w:abstractNumId w:val="7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9AB"/>
    <w:rsid w:val="000B13BD"/>
    <w:rsid w:val="000B308F"/>
    <w:rsid w:val="001C39AB"/>
    <w:rsid w:val="00351992"/>
    <w:rsid w:val="004248BB"/>
    <w:rsid w:val="006F660A"/>
    <w:rsid w:val="007D6FC3"/>
    <w:rsid w:val="00842126"/>
    <w:rsid w:val="00843F84"/>
    <w:rsid w:val="00946020"/>
    <w:rsid w:val="00991D76"/>
    <w:rsid w:val="009E762D"/>
    <w:rsid w:val="00C5692D"/>
    <w:rsid w:val="00F07240"/>
    <w:rsid w:val="00F30413"/>
    <w:rsid w:val="00F3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3B47340C-0226-436C-AA40-FA6216905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762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248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48BB"/>
  </w:style>
  <w:style w:type="paragraph" w:styleId="Piedepgina">
    <w:name w:val="footer"/>
    <w:basedOn w:val="Normal"/>
    <w:link w:val="PiedepginaCar"/>
    <w:uiPriority w:val="99"/>
    <w:unhideWhenUsed/>
    <w:rsid w:val="004248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4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946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Simon Wong Leon</dc:creator>
  <cp:keywords/>
  <dc:description/>
  <cp:lastModifiedBy>Evelyn Modesto T.</cp:lastModifiedBy>
  <cp:revision>9</cp:revision>
  <dcterms:created xsi:type="dcterms:W3CDTF">2018-05-12T15:19:00Z</dcterms:created>
  <dcterms:modified xsi:type="dcterms:W3CDTF">2018-10-04T21:36:00Z</dcterms:modified>
</cp:coreProperties>
</file>